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9346" w14:textId="77777777" w:rsidR="00F75C94" w:rsidRPr="00D811A7" w:rsidRDefault="00F75C94" w:rsidP="00F75C94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0"/>
      </w:tblGrid>
      <w:tr w:rsidR="00DD4117" w:rsidRPr="00DD4117" w14:paraId="0AC7E812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hideMark/>
          </w:tcPr>
          <w:p w14:paraId="21AD2743" w14:textId="77777777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b/>
                <w:bCs/>
                <w:sz w:val="20"/>
                <w:szCs w:val="20"/>
                <w:lang w:val="es-ES" w:eastAsia="es-ES_tradnl"/>
              </w:rPr>
              <w:t>Tema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  <w:tr w:rsidR="00DD4117" w:rsidRPr="00DD4117" w14:paraId="493FEDA7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DB8310" w14:textId="0196D953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color w:val="000000"/>
                <w:sz w:val="20"/>
                <w:szCs w:val="20"/>
                <w:lang w:val="es-ES" w:eastAsia="es-ES_tradnl"/>
              </w:rPr>
              <w:t>Condonación de intereses, conciliación, detrimento patrimonial.</w:t>
            </w:r>
          </w:p>
        </w:tc>
      </w:tr>
      <w:tr w:rsidR="00DD4117" w:rsidRPr="00DD4117" w14:paraId="22775D6E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hideMark/>
          </w:tcPr>
          <w:p w14:paraId="348D0EA3" w14:textId="77777777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b/>
                <w:bCs/>
                <w:sz w:val="20"/>
                <w:szCs w:val="20"/>
                <w:lang w:val="es-ES" w:eastAsia="es-ES_tradnl"/>
              </w:rPr>
              <w:t>CRM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  <w:tr w:rsidR="00DD4117" w:rsidRPr="00DD4117" w14:paraId="2E3C8DE4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120451" w14:textId="40756607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color w:val="000000"/>
                <w:sz w:val="20"/>
                <w:szCs w:val="20"/>
                <w:lang w:val="es-ES" w:eastAsia="es-ES_tradnl"/>
              </w:rPr>
              <w:t>63703</w:t>
            </w:r>
          </w:p>
        </w:tc>
      </w:tr>
      <w:tr w:rsidR="00DD4117" w:rsidRPr="00DD4117" w14:paraId="25B6B180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hideMark/>
          </w:tcPr>
          <w:p w14:paraId="641C1DF8" w14:textId="77777777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b/>
                <w:bCs/>
                <w:sz w:val="20"/>
                <w:szCs w:val="20"/>
                <w:lang w:val="es-ES" w:eastAsia="es-ES_tradnl"/>
              </w:rPr>
              <w:t>Problema(s) jurídico(s)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  <w:tr w:rsidR="00DD4117" w:rsidRPr="00DD4117" w14:paraId="7D0EF2C2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4E974B" w14:textId="6DEC5639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color w:val="000000"/>
                <w:sz w:val="20"/>
                <w:szCs w:val="20"/>
                <w:lang w:eastAsia="es-ES_tradnl"/>
              </w:rPr>
              <w:t> </w:t>
            </w:r>
            <w:r w:rsidRPr="00DD4117">
              <w:rPr>
                <w:rFonts w:ascii="Verdana" w:hAnsi="Verdana" w:cs="Segoe UI"/>
                <w:color w:val="000000"/>
                <w:sz w:val="20"/>
                <w:szCs w:val="20"/>
                <w:lang w:val="es-ES" w:eastAsia="es-ES_tradnl"/>
              </w:rPr>
              <w:t>¿Es viable jurídicamente aceptar, en el marco de un proceso ejecutivo contractual, en el que una de las partes es una entidad pública (demandante) y la otra un particular (demandado), que se pague el capital y un porcentaje mínimo de intereses?</w:t>
            </w:r>
            <w:r>
              <w:rPr>
                <w:rFonts w:ascii="Verdana" w:hAnsi="Verdana" w:cs="Segoe UI"/>
                <w:color w:val="000000"/>
                <w:sz w:val="20"/>
                <w:szCs w:val="20"/>
                <w:lang w:val="es-ES" w:eastAsia="es-ES_tradnl"/>
              </w:rPr>
              <w:t xml:space="preserve">. </w:t>
            </w:r>
          </w:p>
        </w:tc>
      </w:tr>
      <w:tr w:rsidR="00DD4117" w:rsidRPr="00DD4117" w14:paraId="7C2E973C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hideMark/>
          </w:tcPr>
          <w:p w14:paraId="4183E680" w14:textId="77777777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b/>
                <w:bCs/>
                <w:sz w:val="20"/>
                <w:szCs w:val="20"/>
                <w:lang w:val="es-ES" w:eastAsia="es-ES_tradnl"/>
              </w:rPr>
              <w:t>Análisis jurídico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  <w:tr w:rsidR="00DD4117" w:rsidRPr="00DD4117" w14:paraId="003D8132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D8A579" w14:textId="7C1D573F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El concepto abordó los siguientes aspectos: (i) conciliación como mecanismo de resolución de conflictos; (ii) naturaleza de los intereses moratorios y (iii) condonación de intereses moratorios por parte de entidades públicas. 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 xml:space="preserve">En lo que respecta a la condonación de intereses, figura que se emplearía en caso de que, se acepte la propuesta del particular de pagar a la entidad pública </w:t>
            </w:r>
            <w:r w:rsidRPr="00DD4117">
              <w:rPr>
                <w:rFonts w:ascii="Verdana" w:hAnsi="Verdana" w:cs="Segoe UI"/>
                <w:color w:val="000000"/>
                <w:sz w:val="20"/>
                <w:szCs w:val="20"/>
                <w:lang w:val="es-ES" w:eastAsia="es-ES_tradnl"/>
              </w:rPr>
              <w:t xml:space="preserve">el capital y un porcentaje mínimo de intereses, es preciso señalar que, por regla general, </w:t>
            </w: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está prohibida, pues están de por medio recursos públicos. 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  <w:p w14:paraId="0B50F8F0" w14:textId="77777777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  <w:p w14:paraId="3C6ACAD5" w14:textId="77777777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Según lo ha indicado la Contraloría General de la República, para que la condonación de intereses sea procedente debe existir autorización normativa expresa, derivada de una ley o acuerdo distrital o municipal, según corresponda, de lo contrario se puede configurar un detrimento patrimonial para la entidad pública que accede a tal arreglo y una extralimitación de funciones para el funcionario que proceda con la condonación.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  <w:p w14:paraId="67F41755" w14:textId="77777777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  <w:p w14:paraId="548B54B5" w14:textId="6D210303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En todo caso, se mencionó lo señalado por el Consejo de Estado quien ha expresado que, las entidades públicas, al llevar a cabo labores de cobro, deben verificar la relación costo-beneficio que este tiene y, como resultado de ello, pueden desistir de las gestiones de cobro, lo que extinguiría la obligación.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  <w:tr w:rsidR="00DD4117" w:rsidRPr="00DD4117" w14:paraId="45713BF9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hideMark/>
          </w:tcPr>
          <w:p w14:paraId="5291FBAF" w14:textId="77777777" w:rsidR="00DD4117" w:rsidRPr="00DD4117" w:rsidRDefault="00DD4117" w:rsidP="00DD4117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b/>
                <w:bCs/>
                <w:sz w:val="20"/>
                <w:szCs w:val="20"/>
                <w:lang w:val="es-ES" w:eastAsia="es-ES_tradnl"/>
              </w:rPr>
              <w:t>Respuesta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  <w:tr w:rsidR="00DD4117" w:rsidRPr="00DD4117" w14:paraId="5A5F3219" w14:textId="77777777" w:rsidTr="00DD4117">
        <w:trPr>
          <w:trHeight w:val="300"/>
        </w:trPr>
        <w:tc>
          <w:tcPr>
            <w:tcW w:w="8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01C7EA" w14:textId="1AE8D940" w:rsidR="00DD4117" w:rsidRPr="00DD4117" w:rsidRDefault="00DD4117" w:rsidP="00DD4117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_tradnl"/>
              </w:rPr>
            </w:pP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En respuesta a la solicitud planteada se indicó que: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  <w:r w:rsidR="00D27AC9">
              <w:rPr>
                <w:rFonts w:ascii="Verdana" w:hAnsi="Verdana" w:cs="Segoe UI"/>
                <w:sz w:val="20"/>
                <w:szCs w:val="20"/>
                <w:lang w:eastAsia="es-ES_tradnl"/>
              </w:rPr>
              <w:t xml:space="preserve">1. </w:t>
            </w: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El encargado de determinar la viabilidad y/o procedencia del mecanismo de la conciliación es el Comité de Conciliación de la entidad, conforme a la normatividad vigente en la materia.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  <w:r w:rsidR="00D27AC9">
              <w:rPr>
                <w:rFonts w:ascii="Verdana" w:hAnsi="Verdana" w:cs="Segoe UI"/>
                <w:sz w:val="20"/>
                <w:szCs w:val="20"/>
                <w:lang w:eastAsia="es-ES_tradnl"/>
              </w:rPr>
              <w:t xml:space="preserve">2. </w:t>
            </w:r>
            <w:r w:rsidRPr="00DD4117">
              <w:rPr>
                <w:rFonts w:ascii="Verdana" w:hAnsi="Verdana" w:cs="Segoe UI"/>
                <w:sz w:val="20"/>
                <w:szCs w:val="20"/>
                <w:lang w:val="es-ES" w:eastAsia="es-ES_tradnl"/>
              </w:rPr>
              <w:t>Sin perjuicio de la verificación a la que está obligada la entidad pública, la Agencia advierte que, en principio, no se acreditarían los requisitos para dar paso a una eventual condonación, razón por la que es altamente probable la configuración de un detrimento patrimonial.</w:t>
            </w:r>
            <w:r w:rsidRPr="00DD4117">
              <w:rPr>
                <w:rFonts w:ascii="Verdana" w:hAnsi="Verdana" w:cs="Segoe UI"/>
                <w:sz w:val="20"/>
                <w:szCs w:val="20"/>
                <w:lang w:eastAsia="es-ES_tradnl"/>
              </w:rPr>
              <w:t> </w:t>
            </w:r>
          </w:p>
        </w:tc>
      </w:tr>
    </w:tbl>
    <w:p w14:paraId="215E1BFA" w14:textId="77777777" w:rsidR="006563FE" w:rsidRPr="00F75C94" w:rsidRDefault="006563FE" w:rsidP="00F75C94"/>
    <w:sectPr w:rsidR="006563FE" w:rsidRPr="00F75C94" w:rsidSect="00F75C94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53287" w14:textId="77777777" w:rsidR="005C3BF4" w:rsidRDefault="005C3BF4">
      <w:r>
        <w:separator/>
      </w:r>
    </w:p>
  </w:endnote>
  <w:endnote w:type="continuationSeparator" w:id="0">
    <w:p w14:paraId="066F35D5" w14:textId="77777777" w:rsidR="005C3BF4" w:rsidRDefault="005C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EndPr/>
    <w:sdtContent>
      <w:p w14:paraId="3CB4E92B" w14:textId="77777777" w:rsidR="00F75C94" w:rsidRDefault="00F75C94" w:rsidP="00234E5E">
        <w:pPr>
          <w:pStyle w:val="Piedepgina"/>
          <w:jc w:val="both"/>
        </w:pPr>
        <w:r w:rsidRPr="00234E5E">
          <w:rPr>
            <w:rFonts w:ascii="Verdana" w:hAnsi="Verdana"/>
            <w:sz w:val="18"/>
            <w:szCs w:val="18"/>
            <w:lang w:val="es-ES"/>
          </w:rPr>
          <w:t>GAL-F-10 V.</w:t>
        </w:r>
        <w:r>
          <w:rPr>
            <w:rFonts w:ascii="Verdana" w:hAnsi="Verdana"/>
            <w:sz w:val="18"/>
            <w:szCs w:val="18"/>
            <w:lang w:val="es-ES"/>
          </w:rPr>
          <w:t>2</w:t>
        </w:r>
        <w:r w:rsidRPr="00234E5E">
          <w:rPr>
            <w:rFonts w:ascii="Verdana" w:hAnsi="Verdana"/>
            <w:sz w:val="18"/>
            <w:szCs w:val="18"/>
            <w:lang w:val="es-ES"/>
          </w:rPr>
          <w:t xml:space="preserve"> </w:t>
        </w:r>
        <w:r w:rsidRPr="00234E5E">
          <w:rPr>
            <w:rFonts w:ascii="Verdana" w:hAnsi="Verdana"/>
            <w:sz w:val="18"/>
            <w:szCs w:val="18"/>
            <w:lang w:val="es-ES"/>
          </w:rPr>
          <w:tab/>
        </w:r>
        <w:r w:rsidRPr="00234E5E">
          <w:rPr>
            <w:rFonts w:ascii="Verdana" w:hAnsi="Verdana"/>
            <w:sz w:val="18"/>
            <w:szCs w:val="18"/>
            <w:lang w:val="es-ES"/>
          </w:rPr>
          <w:tab/>
          <w:t xml:space="preserve">Página | </w:t>
        </w:r>
        <w:r w:rsidRPr="00234E5E">
          <w:rPr>
            <w:rFonts w:ascii="Verdana" w:hAnsi="Verdana"/>
            <w:sz w:val="18"/>
            <w:szCs w:val="18"/>
          </w:rPr>
          <w:fldChar w:fldCharType="begin"/>
        </w:r>
        <w:r w:rsidRPr="00234E5E">
          <w:rPr>
            <w:rFonts w:ascii="Verdana" w:hAnsi="Verdana"/>
            <w:sz w:val="18"/>
            <w:szCs w:val="18"/>
          </w:rPr>
          <w:instrText>PAGE   \* MERGEFORMAT</w:instrText>
        </w:r>
        <w:r w:rsidRPr="00234E5E">
          <w:rPr>
            <w:rFonts w:ascii="Verdana" w:hAnsi="Verdana"/>
            <w:sz w:val="18"/>
            <w:szCs w:val="18"/>
          </w:rPr>
          <w:fldChar w:fldCharType="separate"/>
        </w:r>
        <w:r w:rsidRPr="00234E5E">
          <w:rPr>
            <w:rFonts w:ascii="Verdana" w:hAnsi="Verdana"/>
            <w:noProof/>
            <w:sz w:val="18"/>
            <w:szCs w:val="18"/>
            <w:lang w:val="es-ES"/>
          </w:rPr>
          <w:t>1</w:t>
        </w:r>
        <w:r w:rsidRPr="00234E5E">
          <w:rPr>
            <w:rFonts w:ascii="Verdana" w:hAnsi="Verdana"/>
            <w:sz w:val="18"/>
            <w:szCs w:val="18"/>
          </w:rPr>
          <w:fldChar w:fldCharType="end"/>
        </w:r>
        <w:r>
          <w:rPr>
            <w:lang w:val="es-ES"/>
          </w:rPr>
          <w:t xml:space="preserve"> </w:t>
        </w:r>
      </w:p>
    </w:sdtContent>
  </w:sdt>
  <w:p w14:paraId="0361EFB7" w14:textId="77777777" w:rsidR="00F75C94" w:rsidRPr="00D34D20" w:rsidRDefault="00F75C94" w:rsidP="00D34D20">
    <w:pPr>
      <w:spacing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87C15" w14:textId="77777777" w:rsidR="005C3BF4" w:rsidRDefault="005C3BF4">
      <w:r>
        <w:separator/>
      </w:r>
    </w:p>
  </w:footnote>
  <w:footnote w:type="continuationSeparator" w:id="0">
    <w:p w14:paraId="0E7E639B" w14:textId="77777777" w:rsidR="005C3BF4" w:rsidRDefault="005C3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37B63" w14:textId="77777777" w:rsidR="00F75C94" w:rsidRDefault="00F75C94">
    <w:pPr>
      <w:pStyle w:val="Encabezado"/>
    </w:pPr>
    <w:r>
      <w:rPr>
        <w:noProof/>
        <w14:ligatures w14:val="standardContextual"/>
      </w:rPr>
      <w:drawing>
        <wp:inline distT="0" distB="0" distL="0" distR="0" wp14:anchorId="7488B117" wp14:editId="3AFEBDA6">
          <wp:extent cx="1657350" cy="951230"/>
          <wp:effectExtent l="0" t="0" r="0" b="1270"/>
          <wp:docPr id="81448763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487639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</w:t>
    </w:r>
    <w:r>
      <w:rPr>
        <w:rFonts w:ascii="Verdana" w:hAnsi="Verdana"/>
        <w:noProof/>
        <w:sz w:val="14"/>
        <w:szCs w:val="14"/>
        <w:lang w:val="es-ES"/>
      </w:rPr>
      <w:drawing>
        <wp:inline distT="0" distB="0" distL="0" distR="0" wp14:anchorId="59BE55F5" wp14:editId="75F46ADF">
          <wp:extent cx="798645" cy="713294"/>
          <wp:effectExtent l="0" t="0" r="0" b="0"/>
          <wp:docPr id="2143066162" name="Imagen 2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066162" name="Imagen 2" descr="Logotipo&#10;&#10;El contenido generado por IA puede ser incorrec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8645" cy="713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A45BE"/>
    <w:multiLevelType w:val="multilevel"/>
    <w:tmpl w:val="9B20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E2F2A"/>
    <w:multiLevelType w:val="multilevel"/>
    <w:tmpl w:val="1678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330153"/>
    <w:multiLevelType w:val="multilevel"/>
    <w:tmpl w:val="1810A1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093BDD"/>
    <w:multiLevelType w:val="multilevel"/>
    <w:tmpl w:val="BD04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94"/>
    <w:rsid w:val="00045689"/>
    <w:rsid w:val="00136F6B"/>
    <w:rsid w:val="004B60A6"/>
    <w:rsid w:val="005C3BF4"/>
    <w:rsid w:val="005F4744"/>
    <w:rsid w:val="006563FE"/>
    <w:rsid w:val="006A1B54"/>
    <w:rsid w:val="00B44779"/>
    <w:rsid w:val="00D27AC9"/>
    <w:rsid w:val="00DD4117"/>
    <w:rsid w:val="00F75C94"/>
    <w:rsid w:val="00FD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B212"/>
  <w15:chartTrackingRefBased/>
  <w15:docId w15:val="{B4EB037D-6681-4500-8C88-02ACA315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C94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75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5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5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5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5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5C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5C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5C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5C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5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5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5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5C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5C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5C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5C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5C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5C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5C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5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5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5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5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5C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5C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5C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5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5C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5C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75C9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5C94"/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75C9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5C94"/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table" w:styleId="Tablaconcuadrcula">
    <w:name w:val="Table Grid"/>
    <w:basedOn w:val="Tablanormal"/>
    <w:uiPriority w:val="39"/>
    <w:rsid w:val="00F75C94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B44779"/>
    <w:pPr>
      <w:spacing w:before="100" w:beforeAutospacing="1" w:after="100" w:afterAutospacing="1"/>
    </w:pPr>
    <w:rPr>
      <w:lang w:eastAsia="es-ES_tradnl"/>
    </w:rPr>
  </w:style>
  <w:style w:type="character" w:customStyle="1" w:styleId="normaltextrun">
    <w:name w:val="normaltextrun"/>
    <w:basedOn w:val="Fuentedeprrafopredeter"/>
    <w:rsid w:val="00B44779"/>
  </w:style>
  <w:style w:type="character" w:customStyle="1" w:styleId="eop">
    <w:name w:val="eop"/>
    <w:basedOn w:val="Fuentedeprrafopredeter"/>
    <w:rsid w:val="00B44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3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5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3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8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9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9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56D347BCF97140903BBEF79300E891" ma:contentTypeVersion="7" ma:contentTypeDescription="Crear nuevo documento." ma:contentTypeScope="" ma:versionID="b6ae9701c65d9de98894af30d43beb4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644806e754d36b6067b92b8b614ca2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  <xsd:element name="AverageRating" ma:index="10" nillable="true" ma:displayName="Clasificación (0-5)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ingCount" ma:index="11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RatedBy" ma:index="12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3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sCount" ma:index="14" nillable="true" ma:displayName="Número de Me gusta" ma:internalName="LikesCount">
      <xsd:simpleType>
        <xsd:restriction base="dms:Unknown"/>
      </xsd:simpleType>
    </xsd:element>
    <xsd:element name="LikedBy" ma:index="15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PublishingExpirationDate xmlns="http://schemas.microsoft.com/sharepoint/v3" xsi:nil="true"/>
    <PublishingStartDate xmlns="http://schemas.microsoft.com/sharepoint/v3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162D0217-B89E-43FA-8C96-3FBC9B106119}"/>
</file>

<file path=customXml/itemProps2.xml><?xml version="1.0" encoding="utf-8"?>
<ds:datastoreItem xmlns:ds="http://schemas.openxmlformats.org/officeDocument/2006/customXml" ds:itemID="{22102353-7DFF-445D-BA8B-2177B9A03A9D}"/>
</file>

<file path=customXml/itemProps3.xml><?xml version="1.0" encoding="utf-8"?>
<ds:datastoreItem xmlns:ds="http://schemas.openxmlformats.org/officeDocument/2006/customXml" ds:itemID="{9CD2DE8D-C3B7-4CAE-900C-1AA8E7B330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Alberto Realpe Mejia</dc:creator>
  <cp:keywords/>
  <dc:description/>
  <cp:lastModifiedBy>Ana Carolina Orozco Osorio</cp:lastModifiedBy>
  <cp:revision>2</cp:revision>
  <dcterms:created xsi:type="dcterms:W3CDTF">2025-11-28T15:35:00Z</dcterms:created>
  <dcterms:modified xsi:type="dcterms:W3CDTF">2025-11-28T15:35:00Z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0x0101006056D347BCF97140903BBEF79300E891</vt:lpwstr>
  </property>
</Properties>
</file>